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BC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2048B95B">
      <w:pPr>
        <w:keepNext w:val="0"/>
        <w:keepLines w:val="0"/>
        <w:widowControl/>
        <w:suppressLineNumbers w:val="0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ascii="方正楷体简体" w:hAnsi="方正楷体简体" w:eastAsia="方正楷体简体" w:cs="方正楷体简体"/>
          <w:b/>
          <w:bCs/>
          <w:color w:val="231F20"/>
          <w:kern w:val="0"/>
          <w:sz w:val="21"/>
          <w:szCs w:val="21"/>
          <w:lang w:val="en-US" w:eastAsia="zh-CN" w:bidi="ar"/>
        </w:rPr>
        <w:t>静电力做功与电势能</w:t>
      </w:r>
    </w:p>
    <w:p w14:paraId="515B04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1.静电力做功的特点：在匀强电场中移动试探电荷时，静电力做功与路径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电荷的始末位置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。这个结论对于一切静电场都适用。</w:t>
      </w:r>
    </w:p>
    <w:p w14:paraId="4FD0B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2.电势能</w:t>
      </w:r>
    </w:p>
    <w:p w14:paraId="72B90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（1）定义：电荷在电场中具有的势能，称为电势能。</w:t>
      </w:r>
    </w:p>
    <w:p w14:paraId="5A5C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（2）静电力做功与电势能变化的关系</w:t>
      </w:r>
    </w:p>
    <w:p w14:paraId="5AC27B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静电力做的功等于电势能的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，即</w:t>
      </w:r>
      <w:r>
        <w:rPr>
          <w:rFonts w:ascii="Times New Roman" w:hAnsi="Times New Roman" w:cs="Times New Roman"/>
          <w:i/>
          <w:sz w:val="21"/>
          <w:szCs w:val="21"/>
        </w:rPr>
        <w:t>W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B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CAFDE8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静电力对电荷做多少正功，电荷电势能就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多少；电荷克服静电力做多少功，电荷电势能就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26AD8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电荷在电场中某点的电势能，等于电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荷从该点移动到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静电力所做的功。</w:t>
      </w:r>
    </w:p>
    <w:p w14:paraId="3DCD6A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在实际应用中，通常将电荷在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的电势能规定为零，或者将电荷在离场源电荷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       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的电势能规定为零。</w:t>
      </w:r>
    </w:p>
    <w:p w14:paraId="3A41C4B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对电势能的理解</w:t>
      </w:r>
    </w:p>
    <w:p w14:paraId="508210E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电势能是电荷及对它作用的电场所共有的，具有系统性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EF72E0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电势能是个相对量，大小取决于零势能位置的选取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在某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电荷的电场中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确定的两点间的电势能之差是绝对量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与零势能位置的选取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57D2611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3.比较电荷在电场中某两点电势能大小的方法</w:t>
      </w:r>
    </w:p>
    <w:p w14:paraId="6B5A7F5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（1）场源电荷判断法：离场源正（负）电荷越近，正试探电荷的电势能越大（小），负试探电荷的电势能越小（大）。</w:t>
      </w:r>
    </w:p>
    <w:p w14:paraId="29F5D1A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（2）电场线法：正电荷顺着电场线的方向移动时，电势能逐渐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；负电荷顺着电场线的方向移动时，电势能逐渐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BB8CF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（3）静电力做功判断法：静电力做正功，电荷的电势能一定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；静电力做负功，电荷的电势能一定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C52ED0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853A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450325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1.只要电荷在电场中移动，静电力一定做功                                    （   ）</w:t>
      </w:r>
    </w:p>
    <w:p w14:paraId="15A7606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2.静电力做功与重力做功类似，与初、末位置有关，与路径无关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 ） </w:t>
      </w:r>
    </w:p>
    <w:p w14:paraId="7A415CD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3.电荷从电场中的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点运动到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点，路径不同，静电力做功不同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   ）</w:t>
      </w:r>
    </w:p>
    <w:p w14:paraId="651355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4.在电场中的任意一点，正电荷所具有的电势能一定大于负电荷所具有的电势能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   ）</w:t>
      </w:r>
    </w:p>
    <w:p w14:paraId="27F4A2B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156A4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9FF4F77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